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07" w:rsidRDefault="00411E07" w:rsidP="00650611">
      <w:pPr>
        <w:spacing w:line="3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CHILDREN’S NATIONAL </w:t>
      </w:r>
      <w:r w:rsidR="00650611">
        <w:rPr>
          <w:rFonts w:ascii="Times New Roman" w:hAnsi="Times New Roman"/>
          <w:b/>
          <w:i/>
        </w:rPr>
        <w:t>HEALTH SYSTEM</w:t>
      </w:r>
      <w:r>
        <w:rPr>
          <w:rFonts w:ascii="Times New Roman" w:hAnsi="Times New Roman"/>
          <w:b/>
          <w:i/>
        </w:rPr>
        <w:t xml:space="preserve"> </w:t>
      </w:r>
    </w:p>
    <w:p w:rsidR="00411E07" w:rsidRDefault="00411E07" w:rsidP="00411E07">
      <w:pPr>
        <w:spacing w:line="3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DEPARTMENT OF RADIOLOGY</w:t>
      </w:r>
    </w:p>
    <w:p w:rsidR="00411E07" w:rsidRDefault="00411E07" w:rsidP="00411E07">
      <w:pPr>
        <w:spacing w:line="300" w:lineRule="atLeas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ULTRASOUND PROTOCOL </w:t>
      </w:r>
    </w:p>
    <w:p w:rsidR="00411E07" w:rsidRDefault="00411E07" w:rsidP="00411E07">
      <w:pPr>
        <w:spacing w:line="300" w:lineRule="atLeas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</w:t>
      </w:r>
    </w:p>
    <w:p w:rsidR="00411E07" w:rsidRDefault="00411E07" w:rsidP="00411E07">
      <w:pPr>
        <w:spacing w:line="340" w:lineRule="atLeast"/>
        <w:rPr>
          <w:rFonts w:ascii="Times New Roman" w:hAnsi="Times New Roman"/>
          <w:b/>
        </w:rPr>
      </w:pPr>
    </w:p>
    <w:p w:rsidR="00411E07" w:rsidRDefault="00411E07" w:rsidP="00D96D9F">
      <w:pPr>
        <w:spacing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Issue Date: </w:t>
      </w:r>
      <w:r w:rsidR="00D96D9F">
        <w:rPr>
          <w:rFonts w:ascii="Times New Roman" w:hAnsi="Times New Roman"/>
          <w:b/>
        </w:rPr>
        <w:t>5/24</w:t>
      </w:r>
      <w:r w:rsidR="00DC2D56">
        <w:rPr>
          <w:rFonts w:ascii="Times New Roman" w:hAnsi="Times New Roman"/>
          <w:b/>
        </w:rPr>
        <w:t>/2015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Policy: </w:t>
      </w:r>
      <w:r w:rsidR="00591E9C">
        <w:rPr>
          <w:rFonts w:ascii="Times New Roman" w:hAnsi="Times New Roman"/>
          <w:b/>
        </w:rPr>
        <w:t>Celiac Artery D</w:t>
      </w:r>
      <w:r w:rsidR="00D96D9F">
        <w:rPr>
          <w:rFonts w:ascii="Times New Roman" w:hAnsi="Times New Roman"/>
          <w:b/>
        </w:rPr>
        <w:t>oppler/MALS</w:t>
      </w:r>
      <w:r>
        <w:rPr>
          <w:rFonts w:ascii="Times New Roman" w:hAnsi="Times New Roman"/>
          <w:b/>
        </w:rPr>
        <w:t xml:space="preserve"> </w:t>
      </w:r>
    </w:p>
    <w:p w:rsidR="00411E07" w:rsidRDefault="00411E07" w:rsidP="00DC2D56">
      <w:pPr>
        <w:spacing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DC2D56">
        <w:rPr>
          <w:rFonts w:ascii="Times New Roman" w:hAnsi="Times New Roman"/>
          <w:b/>
        </w:rPr>
        <w:t xml:space="preserve">                                    </w:t>
      </w:r>
      <w:r>
        <w:rPr>
          <w:rFonts w:ascii="Times New Roman" w:hAnsi="Times New Roman"/>
          <w:b/>
        </w:rPr>
        <w:t xml:space="preserve">Approved by: </w:t>
      </w:r>
      <w:r w:rsidR="00DC2D56">
        <w:rPr>
          <w:rFonts w:ascii="Times New Roman" w:hAnsi="Times New Roman"/>
          <w:b/>
        </w:rPr>
        <w:t>A. Bandarkar, D</w:t>
      </w:r>
      <w:r w:rsidR="00A04D6A">
        <w:rPr>
          <w:rFonts w:ascii="Times New Roman" w:hAnsi="Times New Roman"/>
          <w:b/>
        </w:rPr>
        <w:t>.</w:t>
      </w:r>
      <w:r w:rsidR="00DC2D56">
        <w:rPr>
          <w:rFonts w:ascii="Times New Roman" w:hAnsi="Times New Roman"/>
          <w:b/>
        </w:rPr>
        <w:t xml:space="preserve"> </w:t>
      </w:r>
      <w:proofErr w:type="spellStart"/>
      <w:r w:rsidR="00DC2D56">
        <w:rPr>
          <w:rFonts w:ascii="Times New Roman" w:hAnsi="Times New Roman"/>
          <w:b/>
        </w:rPr>
        <w:t>Bulas</w:t>
      </w:r>
      <w:proofErr w:type="spellEnd"/>
    </w:p>
    <w:p w:rsidR="00411E07" w:rsidRDefault="00DA0F3C" w:rsidP="00DA0F3C">
      <w:pPr>
        <w:spacing w:line="3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411E07" w:rsidRDefault="00411E07" w:rsidP="00411E07">
      <w:pPr>
        <w:rPr>
          <w:rFonts w:ascii="Times New Roman" w:hAnsi="Times New Roman"/>
        </w:rPr>
      </w:pPr>
    </w:p>
    <w:p w:rsidR="00B13398" w:rsidRPr="00411E07" w:rsidRDefault="00411E07" w:rsidP="00D96D9F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411E07">
        <w:rPr>
          <w:rFonts w:ascii="Times New Roman" w:hAnsi="Times New Roman"/>
          <w:b/>
        </w:rPr>
        <w:t xml:space="preserve">Indications for a pediatric </w:t>
      </w:r>
      <w:r w:rsidR="00D96D9F">
        <w:rPr>
          <w:rFonts w:ascii="Times New Roman" w:hAnsi="Times New Roman"/>
          <w:b/>
        </w:rPr>
        <w:t>celiac artery doppler</w:t>
      </w:r>
      <w:r w:rsidRPr="00411E07">
        <w:rPr>
          <w:rFonts w:ascii="Times New Roman" w:hAnsi="Times New Roman"/>
          <w:b/>
        </w:rPr>
        <w:t xml:space="preserve"> study include but are not limited to:</w:t>
      </w:r>
    </w:p>
    <w:p w:rsidR="00411E07" w:rsidRDefault="00411E07" w:rsidP="00411E07">
      <w:pPr>
        <w:ind w:left="720"/>
        <w:rPr>
          <w:rFonts w:ascii="Times New Roman" w:hAnsi="Times New Roman"/>
          <w:b/>
        </w:rPr>
      </w:pPr>
    </w:p>
    <w:p w:rsidR="005B3350" w:rsidRDefault="005B3350" w:rsidP="008727E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Cs/>
        </w:rPr>
      </w:pPr>
      <w:r w:rsidRPr="005B3350">
        <w:rPr>
          <w:rFonts w:ascii="Times New Roman" w:hAnsi="Times New Roman"/>
          <w:bCs/>
        </w:rPr>
        <w:t xml:space="preserve">Suspected median arcuate </w:t>
      </w:r>
      <w:r>
        <w:rPr>
          <w:rFonts w:ascii="Times New Roman" w:hAnsi="Times New Roman"/>
          <w:bCs/>
        </w:rPr>
        <w:t>ligament syndrome (MALS) or celiac artery compression.</w:t>
      </w:r>
    </w:p>
    <w:p w:rsidR="005B3350" w:rsidRPr="005B3350" w:rsidRDefault="005B3350" w:rsidP="005B335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Chronic abdominal pain associated with eating</w:t>
      </w:r>
    </w:p>
    <w:p w:rsidR="008727ED" w:rsidRPr="008727ED" w:rsidRDefault="00D96D9F" w:rsidP="008727ED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POTS – postural orthostatic tachycardia syndrome</w:t>
      </w:r>
      <w:r w:rsidR="005B3350">
        <w:rPr>
          <w:rFonts w:ascii="Times New Roman" w:hAnsi="Times New Roman"/>
        </w:rPr>
        <w:t xml:space="preserve"> or other cardiac conditions</w:t>
      </w:r>
    </w:p>
    <w:p w:rsidR="00076C02" w:rsidRPr="005B3350" w:rsidRDefault="005B3350" w:rsidP="00076C0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Unexplained gastrointestinal symptoms, or weight loss</w:t>
      </w:r>
    </w:p>
    <w:p w:rsidR="00076C02" w:rsidRPr="005B3350" w:rsidRDefault="005B3350" w:rsidP="005B3350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b/>
        </w:rPr>
      </w:pPr>
      <w:r w:rsidRPr="005B3350">
        <w:rPr>
          <w:rFonts w:ascii="Times New Roman" w:hAnsi="Times New Roman"/>
        </w:rPr>
        <w:t>Abdominal bruit</w:t>
      </w:r>
    </w:p>
    <w:p w:rsidR="008727ED" w:rsidRPr="008727ED" w:rsidRDefault="008727ED" w:rsidP="008727ED">
      <w:pPr>
        <w:pStyle w:val="ListParagraph"/>
        <w:spacing w:line="360" w:lineRule="auto"/>
        <w:rPr>
          <w:rFonts w:ascii="Times New Roman" w:hAnsi="Times New Roman"/>
          <w:b/>
        </w:rPr>
      </w:pPr>
    </w:p>
    <w:p w:rsidR="00407D75" w:rsidRPr="008727ED" w:rsidRDefault="00407D75" w:rsidP="008727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8727ED">
        <w:rPr>
          <w:rFonts w:ascii="Times New Roman" w:hAnsi="Times New Roman"/>
          <w:b/>
        </w:rPr>
        <w:t>Patient Prep:</w:t>
      </w:r>
    </w:p>
    <w:p w:rsidR="00E328FF" w:rsidRDefault="000A63EF" w:rsidP="00E328F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E328FF">
        <w:rPr>
          <w:rFonts w:ascii="Times New Roman" w:hAnsi="Times New Roman"/>
        </w:rPr>
        <w:t xml:space="preserve">Similar to abdominal US prep, </w:t>
      </w:r>
      <w:r w:rsidR="004164EE" w:rsidRPr="00E328FF">
        <w:rPr>
          <w:rFonts w:ascii="Times New Roman" w:hAnsi="Times New Roman"/>
        </w:rPr>
        <w:t xml:space="preserve"> patient should fast</w:t>
      </w:r>
      <w:r w:rsidR="00650611">
        <w:rPr>
          <w:rFonts w:ascii="Times New Roman" w:hAnsi="Times New Roman"/>
        </w:rPr>
        <w:t xml:space="preserve"> (water is allowed)</w:t>
      </w:r>
      <w:r w:rsidR="004164EE" w:rsidRPr="00E328FF">
        <w:rPr>
          <w:rFonts w:ascii="Times New Roman" w:hAnsi="Times New Roman"/>
        </w:rPr>
        <w:t xml:space="preserve"> </w:t>
      </w:r>
      <w:r w:rsidR="00591E9C">
        <w:rPr>
          <w:rFonts w:ascii="Times New Roman" w:hAnsi="Times New Roman"/>
        </w:rPr>
        <w:t>6 hours</w:t>
      </w:r>
    </w:p>
    <w:p w:rsidR="00E328FF" w:rsidRPr="00EA0A82" w:rsidRDefault="004164EE" w:rsidP="00EA0A8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</w:rPr>
      </w:pPr>
      <w:r w:rsidRPr="00E328FF">
        <w:rPr>
          <w:rFonts w:ascii="Times New Roman" w:hAnsi="Times New Roman"/>
        </w:rPr>
        <w:t>Avoid chewing gum before the exam because it allows for swallowing excess gas</w:t>
      </w:r>
      <w:r w:rsidR="000A63EF" w:rsidRPr="00E328FF">
        <w:rPr>
          <w:rFonts w:ascii="Times New Roman" w:hAnsi="Times New Roman"/>
        </w:rPr>
        <w:t>.</w:t>
      </w:r>
      <w:r w:rsidR="00917363">
        <w:rPr>
          <w:rFonts w:ascii="Times New Roman" w:hAnsi="Times New Roman"/>
        </w:rPr>
        <w:t xml:space="preserve"> </w:t>
      </w:r>
    </w:p>
    <w:p w:rsidR="00424B2C" w:rsidRDefault="00424B2C" w:rsidP="00424B2C">
      <w:pPr>
        <w:spacing w:line="360" w:lineRule="auto"/>
        <w:ind w:left="720"/>
        <w:rPr>
          <w:rFonts w:ascii="Times New Roman" w:hAnsi="Times New Roman"/>
        </w:rPr>
      </w:pPr>
    </w:p>
    <w:p w:rsidR="00407D75" w:rsidRDefault="008727ED" w:rsidP="008727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407D75" w:rsidRPr="008727ED">
        <w:rPr>
          <w:rFonts w:ascii="Times New Roman" w:hAnsi="Times New Roman"/>
          <w:b/>
        </w:rPr>
        <w:t>Protocol:</w:t>
      </w:r>
      <w:r w:rsidR="00E328FF">
        <w:rPr>
          <w:rFonts w:ascii="Times New Roman" w:hAnsi="Times New Roman"/>
          <w:b/>
        </w:rPr>
        <w:t xml:space="preserve">  </w:t>
      </w:r>
    </w:p>
    <w:p w:rsidR="00591E9C" w:rsidRPr="00591E9C" w:rsidRDefault="00591E9C" w:rsidP="00591E9C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r w:rsidRPr="00591E9C">
        <w:rPr>
          <w:rFonts w:asciiTheme="majorBidi" w:eastAsiaTheme="minorHAnsi" w:hAnsiTheme="majorBidi" w:cstheme="majorBidi"/>
          <w:b/>
          <w:color w:val="auto"/>
        </w:rPr>
        <w:t xml:space="preserve">If this is the first exam, then CA Doppler is scheduled as complete abdomen ultrasound with Doppler. </w:t>
      </w:r>
      <w:r w:rsidRPr="00591E9C">
        <w:rPr>
          <w:rFonts w:asciiTheme="majorBidi" w:eastAsiaTheme="minorHAnsi" w:hAnsiTheme="majorBidi" w:cstheme="majorBidi"/>
          <w:color w:val="auto"/>
        </w:rPr>
        <w:t>If the patient a</w:t>
      </w:r>
      <w:r>
        <w:rPr>
          <w:rFonts w:asciiTheme="majorBidi" w:eastAsiaTheme="minorHAnsi" w:hAnsiTheme="majorBidi" w:cstheme="majorBidi"/>
          <w:color w:val="auto"/>
        </w:rPr>
        <w:t>lready has a recent (within</w:t>
      </w:r>
      <w:r w:rsidRPr="00591E9C">
        <w:rPr>
          <w:rFonts w:asciiTheme="majorBidi" w:eastAsiaTheme="minorHAnsi" w:hAnsiTheme="majorBidi" w:cstheme="majorBidi"/>
          <w:color w:val="auto"/>
        </w:rPr>
        <w:t xml:space="preserve"> 6 months) abdomen ultrasound exam, th</w:t>
      </w:r>
      <w:r>
        <w:rPr>
          <w:rFonts w:asciiTheme="majorBidi" w:eastAsiaTheme="minorHAnsi" w:hAnsiTheme="majorBidi" w:cstheme="majorBidi"/>
          <w:color w:val="auto"/>
        </w:rPr>
        <w:t>en schedule as limited abdomen D</w:t>
      </w:r>
      <w:r w:rsidRPr="00591E9C">
        <w:rPr>
          <w:rFonts w:asciiTheme="majorBidi" w:eastAsiaTheme="minorHAnsi" w:hAnsiTheme="majorBidi" w:cstheme="majorBidi"/>
          <w:color w:val="auto"/>
        </w:rPr>
        <w:t>oppler exam.</w:t>
      </w:r>
    </w:p>
    <w:p w:rsidR="00E328FF" w:rsidRPr="00591E9C" w:rsidRDefault="00E328FF" w:rsidP="00591E9C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bCs/>
        </w:rPr>
      </w:pPr>
      <w:r w:rsidRPr="00591E9C">
        <w:rPr>
          <w:rFonts w:ascii="Times New Roman" w:hAnsi="Times New Roman"/>
          <w:bCs/>
        </w:rPr>
        <w:t>Explain the procedure to the patient. Ensure that the patient understands how long it will take (ideally 2</w:t>
      </w:r>
      <w:r w:rsidR="00650611" w:rsidRPr="00591E9C">
        <w:rPr>
          <w:rFonts w:ascii="Times New Roman" w:hAnsi="Times New Roman"/>
          <w:bCs/>
        </w:rPr>
        <w:t>5</w:t>
      </w:r>
      <w:r w:rsidRPr="00591E9C">
        <w:rPr>
          <w:rFonts w:ascii="Times New Roman" w:hAnsi="Times New Roman"/>
          <w:bCs/>
        </w:rPr>
        <w:t xml:space="preserve"> to 30 min) and why it is important to hold breath as directed.</w:t>
      </w:r>
    </w:p>
    <w:p w:rsidR="00650611" w:rsidRPr="00591E9C" w:rsidRDefault="00650611" w:rsidP="00591E9C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r w:rsidRPr="00591E9C">
        <w:rPr>
          <w:rFonts w:asciiTheme="majorBidi" w:eastAsiaTheme="minorHAnsi" w:hAnsiTheme="majorBidi" w:cstheme="majorBidi"/>
          <w:color w:val="auto"/>
        </w:rPr>
        <w:t xml:space="preserve">Transducer </w:t>
      </w:r>
      <w:proofErr w:type="gramStart"/>
      <w:r w:rsidRPr="00591E9C">
        <w:rPr>
          <w:rFonts w:asciiTheme="majorBidi" w:eastAsiaTheme="minorHAnsi" w:hAnsiTheme="majorBidi" w:cstheme="majorBidi"/>
          <w:color w:val="auto"/>
        </w:rPr>
        <w:t>–  Curved</w:t>
      </w:r>
      <w:proofErr w:type="gramEnd"/>
      <w:r w:rsidRPr="00591E9C">
        <w:rPr>
          <w:rFonts w:asciiTheme="majorBidi" w:eastAsiaTheme="minorHAnsi" w:hAnsiTheme="majorBidi" w:cstheme="majorBidi"/>
          <w:color w:val="auto"/>
        </w:rPr>
        <w:t xml:space="preserve"> 1-5 MHz</w:t>
      </w:r>
      <w:r w:rsidR="00591E9C">
        <w:rPr>
          <w:rFonts w:asciiTheme="majorBidi" w:eastAsiaTheme="minorHAnsi" w:hAnsiTheme="majorBidi" w:cstheme="majorBidi"/>
          <w:color w:val="auto"/>
        </w:rPr>
        <w:t xml:space="preserve"> </w:t>
      </w:r>
      <w:r w:rsidRPr="00591E9C">
        <w:rPr>
          <w:rFonts w:asciiTheme="majorBidi" w:eastAsiaTheme="minorHAnsi" w:hAnsiTheme="majorBidi" w:cstheme="majorBidi"/>
          <w:color w:val="auto"/>
        </w:rPr>
        <w:t xml:space="preserve"> Curved 9 </w:t>
      </w:r>
      <w:proofErr w:type="spellStart"/>
      <w:r w:rsidRPr="00591E9C">
        <w:rPr>
          <w:rFonts w:asciiTheme="majorBidi" w:eastAsiaTheme="minorHAnsi" w:hAnsiTheme="majorBidi" w:cstheme="majorBidi"/>
          <w:color w:val="auto"/>
        </w:rPr>
        <w:t>MHz.</w:t>
      </w:r>
      <w:proofErr w:type="spellEnd"/>
      <w:r w:rsidRPr="00591E9C">
        <w:rPr>
          <w:rFonts w:asciiTheme="majorBidi" w:eastAsiaTheme="minorHAnsi" w:hAnsiTheme="majorBidi" w:cstheme="majorBidi"/>
          <w:color w:val="auto"/>
        </w:rPr>
        <w:t xml:space="preserve"> In case of thin built patients, a linear 9</w:t>
      </w:r>
      <w:r w:rsidR="00591E9C">
        <w:rPr>
          <w:rFonts w:asciiTheme="majorBidi" w:eastAsiaTheme="minorHAnsi" w:hAnsiTheme="majorBidi" w:cstheme="majorBidi"/>
          <w:color w:val="auto"/>
        </w:rPr>
        <w:t xml:space="preserve"> MHz transducer may</w:t>
      </w:r>
      <w:r w:rsidR="00591E9C" w:rsidRPr="00591E9C">
        <w:rPr>
          <w:rFonts w:asciiTheme="majorBidi" w:eastAsiaTheme="minorHAnsi" w:hAnsiTheme="majorBidi" w:cstheme="majorBidi"/>
          <w:color w:val="auto"/>
        </w:rPr>
        <w:t xml:space="preserve"> be used</w:t>
      </w:r>
      <w:r w:rsidRPr="00591E9C">
        <w:rPr>
          <w:rFonts w:asciiTheme="majorBidi" w:eastAsiaTheme="minorHAnsi" w:hAnsiTheme="majorBidi" w:cstheme="majorBidi"/>
          <w:color w:val="auto"/>
        </w:rPr>
        <w:t>.</w:t>
      </w:r>
    </w:p>
    <w:p w:rsidR="001C5B70" w:rsidRPr="00591E9C" w:rsidRDefault="001C5B70" w:rsidP="00591E9C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r w:rsidRPr="00591E9C">
        <w:rPr>
          <w:rFonts w:asciiTheme="majorBidi" w:eastAsiaTheme="minorHAnsi" w:hAnsiTheme="majorBidi" w:cstheme="majorBidi"/>
          <w:color w:val="auto"/>
        </w:rPr>
        <w:t>Obtain midline grayscale and color sagittal image of aorta (</w:t>
      </w:r>
      <w:proofErr w:type="spellStart"/>
      <w:r w:rsidRPr="00591E9C">
        <w:rPr>
          <w:rFonts w:asciiTheme="majorBidi" w:eastAsiaTheme="minorHAnsi" w:hAnsiTheme="majorBidi" w:cstheme="majorBidi"/>
          <w:color w:val="auto"/>
        </w:rPr>
        <w:t>Ao</w:t>
      </w:r>
      <w:proofErr w:type="spellEnd"/>
      <w:r w:rsidRPr="00591E9C">
        <w:rPr>
          <w:rFonts w:asciiTheme="majorBidi" w:eastAsiaTheme="minorHAnsi" w:hAnsiTheme="majorBidi" w:cstheme="majorBidi"/>
          <w:color w:val="auto"/>
        </w:rPr>
        <w:t xml:space="preserve">) showing celiac artery (CA) and superior mesenteric artery (SMA) origins. </w:t>
      </w:r>
    </w:p>
    <w:p w:rsidR="00591E9C" w:rsidRDefault="001C5B70" w:rsidP="00591E9C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r w:rsidRPr="00591E9C">
        <w:rPr>
          <w:rFonts w:asciiTheme="majorBidi" w:eastAsiaTheme="minorHAnsi" w:hAnsiTheme="majorBidi" w:cstheme="majorBidi"/>
          <w:color w:val="auto"/>
        </w:rPr>
        <w:t>Document the CA origin</w:t>
      </w:r>
      <w:r w:rsidR="00A84245" w:rsidRPr="00591E9C">
        <w:rPr>
          <w:rFonts w:asciiTheme="majorBidi" w:eastAsiaTheme="minorHAnsi" w:hAnsiTheme="majorBidi" w:cstheme="majorBidi"/>
          <w:color w:val="auto"/>
        </w:rPr>
        <w:t xml:space="preserve"> in sagittal plane</w:t>
      </w:r>
      <w:r w:rsidRPr="00591E9C">
        <w:rPr>
          <w:rFonts w:asciiTheme="majorBidi" w:eastAsiaTheme="minorHAnsi" w:hAnsiTheme="majorBidi" w:cstheme="majorBidi"/>
          <w:color w:val="auto"/>
        </w:rPr>
        <w:t xml:space="preserve"> to assess presence of hook or J-shape. Look for aliasing and turbulence in proximal CA. Look for </w:t>
      </w:r>
      <w:proofErr w:type="spellStart"/>
      <w:r w:rsidRPr="00591E9C">
        <w:rPr>
          <w:rFonts w:asciiTheme="majorBidi" w:eastAsiaTheme="minorHAnsi" w:hAnsiTheme="majorBidi" w:cstheme="majorBidi"/>
          <w:color w:val="auto"/>
        </w:rPr>
        <w:t>juxtaostial</w:t>
      </w:r>
      <w:proofErr w:type="spellEnd"/>
      <w:r w:rsidRPr="00591E9C">
        <w:rPr>
          <w:rFonts w:asciiTheme="majorBidi" w:eastAsiaTheme="minorHAnsi" w:hAnsiTheme="majorBidi" w:cstheme="majorBidi"/>
          <w:color w:val="auto"/>
        </w:rPr>
        <w:t xml:space="preserve"> narrowing of CA and post-stenotic dilatation.</w:t>
      </w:r>
      <w:r w:rsidR="00A84245" w:rsidRPr="00591E9C">
        <w:rPr>
          <w:rFonts w:asciiTheme="majorBidi" w:eastAsiaTheme="minorHAnsi" w:hAnsiTheme="majorBidi" w:cstheme="majorBidi"/>
          <w:color w:val="auto"/>
        </w:rPr>
        <w:t xml:space="preserve"> </w:t>
      </w:r>
    </w:p>
    <w:p w:rsidR="00591E9C" w:rsidRDefault="00A84245" w:rsidP="00591E9C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r w:rsidRPr="00591E9C">
        <w:rPr>
          <w:rFonts w:asciiTheme="majorBidi" w:eastAsiaTheme="minorHAnsi" w:hAnsiTheme="majorBidi" w:cstheme="majorBidi"/>
          <w:color w:val="auto"/>
        </w:rPr>
        <w:t xml:space="preserve">Save a grayscale sagittal cine clip of the deflection angle i.e. save a 3 second long static </w:t>
      </w:r>
      <w:r w:rsidR="004C4889" w:rsidRPr="00591E9C">
        <w:rPr>
          <w:rFonts w:asciiTheme="majorBidi" w:eastAsiaTheme="minorHAnsi" w:hAnsiTheme="majorBidi" w:cstheme="majorBidi"/>
          <w:color w:val="auto"/>
        </w:rPr>
        <w:t xml:space="preserve">cine </w:t>
      </w:r>
      <w:r w:rsidRPr="00591E9C">
        <w:rPr>
          <w:rFonts w:asciiTheme="majorBidi" w:eastAsiaTheme="minorHAnsi" w:hAnsiTheme="majorBidi" w:cstheme="majorBidi"/>
          <w:color w:val="auto"/>
        </w:rPr>
        <w:t xml:space="preserve">clip showing the </w:t>
      </w:r>
      <w:r w:rsidR="004C4889" w:rsidRPr="00591E9C">
        <w:rPr>
          <w:rFonts w:asciiTheme="majorBidi" w:eastAsiaTheme="minorHAnsi" w:hAnsiTheme="majorBidi" w:cstheme="majorBidi"/>
          <w:color w:val="auto"/>
        </w:rPr>
        <w:t>excursion/</w:t>
      </w:r>
      <w:r w:rsidRPr="00591E9C">
        <w:rPr>
          <w:rFonts w:asciiTheme="majorBidi" w:eastAsiaTheme="minorHAnsi" w:hAnsiTheme="majorBidi" w:cstheme="majorBidi"/>
          <w:color w:val="auto"/>
        </w:rPr>
        <w:t>movement of the CA during normal respiration.</w:t>
      </w:r>
    </w:p>
    <w:p w:rsidR="00591E9C" w:rsidRDefault="00650611" w:rsidP="00591E9C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r w:rsidRPr="00591E9C">
        <w:rPr>
          <w:rFonts w:asciiTheme="majorBidi" w:eastAsiaTheme="minorHAnsi" w:hAnsiTheme="majorBidi" w:cstheme="majorBidi"/>
          <w:color w:val="auto"/>
        </w:rPr>
        <w:lastRenderedPageBreak/>
        <w:t xml:space="preserve">Measure baseline </w:t>
      </w:r>
      <w:r w:rsidR="004C4889" w:rsidRPr="00591E9C">
        <w:rPr>
          <w:rFonts w:asciiTheme="majorBidi" w:eastAsiaTheme="minorHAnsi" w:hAnsiTheme="majorBidi" w:cstheme="majorBidi"/>
          <w:color w:val="auto"/>
        </w:rPr>
        <w:t xml:space="preserve">resting </w:t>
      </w:r>
      <w:r w:rsidR="00591E9C">
        <w:rPr>
          <w:rFonts w:asciiTheme="majorBidi" w:eastAsiaTheme="minorHAnsi" w:hAnsiTheme="majorBidi" w:cstheme="majorBidi"/>
          <w:color w:val="auto"/>
        </w:rPr>
        <w:t xml:space="preserve">peak systolic velocity (PSV </w:t>
      </w:r>
      <w:r w:rsidRPr="00591E9C">
        <w:rPr>
          <w:rFonts w:asciiTheme="majorBidi" w:eastAsiaTheme="minorHAnsi" w:hAnsiTheme="majorBidi" w:cstheme="majorBidi"/>
          <w:color w:val="auto"/>
        </w:rPr>
        <w:t xml:space="preserve">cm/s) in the </w:t>
      </w:r>
      <w:proofErr w:type="spellStart"/>
      <w:r w:rsidRPr="00591E9C">
        <w:rPr>
          <w:rFonts w:asciiTheme="majorBidi" w:eastAsiaTheme="minorHAnsi" w:hAnsiTheme="majorBidi" w:cstheme="majorBidi"/>
          <w:color w:val="auto"/>
        </w:rPr>
        <w:t>Ao</w:t>
      </w:r>
      <w:proofErr w:type="spellEnd"/>
      <w:r w:rsidRPr="00591E9C">
        <w:rPr>
          <w:rFonts w:asciiTheme="majorBidi" w:eastAsiaTheme="minorHAnsi" w:hAnsiTheme="majorBidi" w:cstheme="majorBidi"/>
          <w:color w:val="auto"/>
        </w:rPr>
        <w:t>, CA and SMA.</w:t>
      </w:r>
      <w:r w:rsidR="00A84245" w:rsidRPr="00591E9C">
        <w:rPr>
          <w:rFonts w:asciiTheme="majorBidi" w:eastAsiaTheme="minorHAnsi" w:hAnsiTheme="majorBidi" w:cstheme="majorBidi"/>
          <w:color w:val="auto"/>
        </w:rPr>
        <w:t xml:space="preserve"> Angle of </w:t>
      </w:r>
      <w:proofErr w:type="spellStart"/>
      <w:r w:rsidR="00A84245" w:rsidRPr="00591E9C">
        <w:rPr>
          <w:rFonts w:asciiTheme="majorBidi" w:eastAsiaTheme="minorHAnsi" w:hAnsiTheme="majorBidi" w:cstheme="majorBidi"/>
          <w:color w:val="auto"/>
        </w:rPr>
        <w:t>insonation</w:t>
      </w:r>
      <w:proofErr w:type="spellEnd"/>
      <w:r w:rsidR="00A84245" w:rsidRPr="00591E9C">
        <w:rPr>
          <w:rFonts w:asciiTheme="majorBidi" w:eastAsiaTheme="minorHAnsi" w:hAnsiTheme="majorBidi" w:cstheme="majorBidi"/>
          <w:color w:val="auto"/>
        </w:rPr>
        <w:t xml:space="preserve"> should be less than 60 degrees.</w:t>
      </w:r>
    </w:p>
    <w:p w:rsidR="00591E9C" w:rsidRDefault="00650611" w:rsidP="00591E9C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r w:rsidRPr="00591E9C">
        <w:rPr>
          <w:rFonts w:asciiTheme="majorBidi" w:eastAsiaTheme="minorHAnsi" w:hAnsiTheme="majorBidi" w:cstheme="majorBidi"/>
          <w:color w:val="auto"/>
        </w:rPr>
        <w:t>In supine position</w:t>
      </w:r>
      <w:r w:rsidR="00A84245" w:rsidRPr="00591E9C">
        <w:rPr>
          <w:rFonts w:asciiTheme="majorBidi" w:eastAsiaTheme="minorHAnsi" w:hAnsiTheme="majorBidi" w:cstheme="majorBidi"/>
          <w:color w:val="auto"/>
        </w:rPr>
        <w:t xml:space="preserve"> sagittal plane</w:t>
      </w:r>
      <w:r w:rsidRPr="00591E9C">
        <w:rPr>
          <w:rFonts w:asciiTheme="majorBidi" w:eastAsiaTheme="minorHAnsi" w:hAnsiTheme="majorBidi" w:cstheme="majorBidi"/>
          <w:color w:val="auto"/>
        </w:rPr>
        <w:t>, measure CA PSV in deep inspiration and then in expiration (3 sample sets) using angle-correction at a point in the proximal artery just beyond its origin.</w:t>
      </w:r>
      <w:r w:rsidR="00B012D7">
        <w:rPr>
          <w:rFonts w:asciiTheme="majorBidi" w:eastAsiaTheme="minorHAnsi" w:hAnsiTheme="majorBidi" w:cstheme="majorBidi"/>
          <w:color w:val="auto"/>
        </w:rPr>
        <w:t xml:space="preserve"> Also measure </w:t>
      </w:r>
      <w:proofErr w:type="spellStart"/>
      <w:r w:rsidR="00B012D7">
        <w:rPr>
          <w:rFonts w:asciiTheme="majorBidi" w:eastAsiaTheme="minorHAnsi" w:hAnsiTheme="majorBidi" w:cstheme="majorBidi"/>
          <w:color w:val="auto"/>
        </w:rPr>
        <w:t>Ao</w:t>
      </w:r>
      <w:proofErr w:type="spellEnd"/>
      <w:r w:rsidR="00B012D7">
        <w:rPr>
          <w:rFonts w:asciiTheme="majorBidi" w:eastAsiaTheme="minorHAnsi" w:hAnsiTheme="majorBidi" w:cstheme="majorBidi"/>
          <w:color w:val="auto"/>
        </w:rPr>
        <w:t xml:space="preserve"> PSV.</w:t>
      </w:r>
    </w:p>
    <w:p w:rsidR="00650611" w:rsidRPr="00B012D7" w:rsidRDefault="00650611" w:rsidP="00591E9C">
      <w:pPr>
        <w:pStyle w:val="ListParagraph"/>
        <w:numPr>
          <w:ilvl w:val="0"/>
          <w:numId w:val="14"/>
        </w:numPr>
        <w:spacing w:after="200" w:line="276" w:lineRule="auto"/>
        <w:rPr>
          <w:rFonts w:asciiTheme="majorBidi" w:eastAsiaTheme="minorHAnsi" w:hAnsiTheme="majorBidi" w:cstheme="majorBidi"/>
          <w:bCs/>
          <w:color w:val="auto"/>
        </w:rPr>
      </w:pPr>
      <w:r w:rsidRPr="00591E9C">
        <w:rPr>
          <w:rFonts w:asciiTheme="majorBidi" w:eastAsiaTheme="minorHAnsi" w:hAnsiTheme="majorBidi" w:cstheme="majorBidi"/>
          <w:color w:val="auto"/>
        </w:rPr>
        <w:t>In upright position, again me</w:t>
      </w:r>
      <w:bookmarkStart w:id="0" w:name="_GoBack"/>
      <w:bookmarkEnd w:id="0"/>
      <w:r w:rsidRPr="00591E9C">
        <w:rPr>
          <w:rFonts w:asciiTheme="majorBidi" w:eastAsiaTheme="minorHAnsi" w:hAnsiTheme="majorBidi" w:cstheme="majorBidi"/>
          <w:color w:val="auto"/>
        </w:rPr>
        <w:t xml:space="preserve">asure PSV in inspiration and expiration, </w:t>
      </w:r>
      <w:r w:rsidR="00A84245" w:rsidRPr="00591E9C">
        <w:rPr>
          <w:rFonts w:asciiTheme="majorBidi" w:eastAsiaTheme="minorHAnsi" w:hAnsiTheme="majorBidi" w:cstheme="majorBidi"/>
          <w:color w:val="auto"/>
        </w:rPr>
        <w:t xml:space="preserve">in both the CA </w:t>
      </w:r>
      <w:r w:rsidR="00B012D7" w:rsidRPr="00B012D7">
        <w:rPr>
          <w:rFonts w:asciiTheme="majorBidi" w:eastAsiaTheme="minorHAnsi" w:hAnsiTheme="majorBidi" w:cstheme="majorBidi"/>
          <w:bCs/>
          <w:color w:val="auto"/>
        </w:rPr>
        <w:t xml:space="preserve">and </w:t>
      </w:r>
      <w:proofErr w:type="spellStart"/>
      <w:r w:rsidR="00B012D7" w:rsidRPr="00B012D7">
        <w:rPr>
          <w:rFonts w:asciiTheme="majorBidi" w:eastAsiaTheme="minorHAnsi" w:hAnsiTheme="majorBidi" w:cstheme="majorBidi"/>
          <w:bCs/>
          <w:color w:val="auto"/>
        </w:rPr>
        <w:t>Ao</w:t>
      </w:r>
      <w:proofErr w:type="spellEnd"/>
      <w:r w:rsidR="00B012D7" w:rsidRPr="00B012D7">
        <w:rPr>
          <w:rFonts w:asciiTheme="majorBidi" w:eastAsiaTheme="minorHAnsi" w:hAnsiTheme="majorBidi" w:cstheme="majorBidi"/>
          <w:bCs/>
          <w:color w:val="auto"/>
        </w:rPr>
        <w:t>.</w:t>
      </w:r>
    </w:p>
    <w:p w:rsidR="00650611" w:rsidRPr="00650611" w:rsidRDefault="00650611" w:rsidP="00650611">
      <w:pPr>
        <w:spacing w:after="200" w:line="276" w:lineRule="auto"/>
        <w:ind w:left="720"/>
        <w:contextualSpacing/>
        <w:rPr>
          <w:rFonts w:asciiTheme="majorBidi" w:eastAsiaTheme="minorHAnsi" w:hAnsiTheme="majorBidi" w:cstheme="majorBidi"/>
          <w:color w:val="auto"/>
        </w:rPr>
      </w:pPr>
    </w:p>
    <w:p w:rsidR="00650611" w:rsidRPr="00650611" w:rsidRDefault="00A84245" w:rsidP="00A84245">
      <w:pPr>
        <w:spacing w:after="200" w:line="276" w:lineRule="auto"/>
        <w:ind w:left="720"/>
        <w:contextualSpacing/>
        <w:rPr>
          <w:rFonts w:asciiTheme="majorBidi" w:eastAsiaTheme="minorHAnsi" w:hAnsiTheme="majorBidi" w:cstheme="majorBidi"/>
          <w:color w:val="auto"/>
        </w:rPr>
      </w:pPr>
      <w:r>
        <w:rPr>
          <w:rFonts w:asciiTheme="majorBidi" w:eastAsiaTheme="minorHAnsi" w:hAnsiTheme="majorBidi" w:cstheme="majorBidi"/>
          <w:color w:val="auto"/>
        </w:rPr>
        <w:t>Points to remember</w:t>
      </w:r>
      <w:r w:rsidR="00650611" w:rsidRPr="00650611">
        <w:rPr>
          <w:rFonts w:asciiTheme="majorBidi" w:eastAsiaTheme="minorHAnsi" w:hAnsiTheme="majorBidi" w:cstheme="majorBidi"/>
          <w:color w:val="auto"/>
        </w:rPr>
        <w:t>-</w:t>
      </w:r>
    </w:p>
    <w:p w:rsidR="004C4889" w:rsidRDefault="00A84245" w:rsidP="00A84245">
      <w:pPr>
        <w:pStyle w:val="ListParagraph"/>
        <w:numPr>
          <w:ilvl w:val="0"/>
          <w:numId w:val="12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r w:rsidRPr="004C4889">
        <w:rPr>
          <w:rFonts w:asciiTheme="majorBidi" w:eastAsiaTheme="minorHAnsi" w:hAnsiTheme="majorBidi" w:cstheme="majorBidi"/>
          <w:color w:val="auto"/>
        </w:rPr>
        <w:t xml:space="preserve">In an abnormal exam, the </w:t>
      </w:r>
      <w:r w:rsidR="00650611" w:rsidRPr="004C4889">
        <w:rPr>
          <w:rFonts w:asciiTheme="majorBidi" w:eastAsiaTheme="minorHAnsi" w:hAnsiTheme="majorBidi" w:cstheme="majorBidi"/>
          <w:color w:val="auto"/>
        </w:rPr>
        <w:t xml:space="preserve">PSV increases in expiration and </w:t>
      </w:r>
      <w:r w:rsidR="004C4889" w:rsidRPr="004C4889">
        <w:rPr>
          <w:rFonts w:asciiTheme="majorBidi" w:eastAsiaTheme="minorHAnsi" w:hAnsiTheme="majorBidi" w:cstheme="majorBidi"/>
          <w:color w:val="auto"/>
        </w:rPr>
        <w:t>normalizes</w:t>
      </w:r>
      <w:r w:rsidR="00650611" w:rsidRPr="004C4889">
        <w:rPr>
          <w:rFonts w:asciiTheme="majorBidi" w:eastAsiaTheme="minorHAnsi" w:hAnsiTheme="majorBidi" w:cstheme="majorBidi"/>
          <w:color w:val="auto"/>
        </w:rPr>
        <w:t xml:space="preserve"> in upright position.</w:t>
      </w:r>
    </w:p>
    <w:p w:rsidR="004C4889" w:rsidRDefault="00591E9C" w:rsidP="00A84245">
      <w:pPr>
        <w:pStyle w:val="ListParagraph"/>
        <w:numPr>
          <w:ilvl w:val="0"/>
          <w:numId w:val="12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r>
        <w:rPr>
          <w:rFonts w:asciiTheme="majorBidi" w:eastAsiaTheme="minorHAnsi" w:hAnsiTheme="majorBidi" w:cstheme="majorBidi"/>
          <w:color w:val="auto"/>
        </w:rPr>
        <w:t xml:space="preserve">CA PSV &gt;200 is abnormal </w:t>
      </w:r>
      <w:r w:rsidR="004C4889" w:rsidRPr="004C4889">
        <w:rPr>
          <w:rFonts w:asciiTheme="majorBidi" w:eastAsiaTheme="minorHAnsi" w:hAnsiTheme="majorBidi" w:cstheme="majorBidi"/>
          <w:color w:val="auto"/>
        </w:rPr>
        <w:t xml:space="preserve">and </w:t>
      </w:r>
      <w:r w:rsidR="00650611" w:rsidRPr="00650611">
        <w:rPr>
          <w:rFonts w:asciiTheme="majorBidi" w:eastAsiaTheme="minorHAnsi" w:hAnsiTheme="majorBidi" w:cstheme="majorBidi"/>
          <w:color w:val="auto"/>
        </w:rPr>
        <w:t>expiratory PSV &gt;350 is consistent with MALS.</w:t>
      </w:r>
    </w:p>
    <w:p w:rsidR="004C4889" w:rsidRDefault="00650611" w:rsidP="00A84245">
      <w:pPr>
        <w:pStyle w:val="ListParagraph"/>
        <w:numPr>
          <w:ilvl w:val="0"/>
          <w:numId w:val="12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proofErr w:type="spellStart"/>
      <w:r w:rsidRPr="00650611">
        <w:rPr>
          <w:rFonts w:asciiTheme="majorBidi" w:eastAsiaTheme="minorHAnsi" w:hAnsiTheme="majorBidi" w:cstheme="majorBidi"/>
          <w:color w:val="auto"/>
        </w:rPr>
        <w:t>CA</w:t>
      </w:r>
      <w:proofErr w:type="gramStart"/>
      <w:r w:rsidRPr="00650611">
        <w:rPr>
          <w:rFonts w:asciiTheme="majorBidi" w:eastAsiaTheme="minorHAnsi" w:hAnsiTheme="majorBidi" w:cstheme="majorBidi"/>
          <w:color w:val="auto"/>
        </w:rPr>
        <w:t>:Ao</w:t>
      </w:r>
      <w:proofErr w:type="spellEnd"/>
      <w:proofErr w:type="gramEnd"/>
      <w:r w:rsidRPr="00650611">
        <w:rPr>
          <w:rFonts w:asciiTheme="majorBidi" w:eastAsiaTheme="minorHAnsi" w:hAnsiTheme="majorBidi" w:cstheme="majorBidi"/>
          <w:color w:val="auto"/>
        </w:rPr>
        <w:t xml:space="preserve"> PSV ratio greater than 3:1 is suggestive of MALS.</w:t>
      </w:r>
    </w:p>
    <w:p w:rsidR="00650611" w:rsidRPr="00650611" w:rsidRDefault="00650611" w:rsidP="00A84245">
      <w:pPr>
        <w:pStyle w:val="ListParagraph"/>
        <w:numPr>
          <w:ilvl w:val="0"/>
          <w:numId w:val="12"/>
        </w:numPr>
        <w:spacing w:after="200" w:line="276" w:lineRule="auto"/>
        <w:rPr>
          <w:rFonts w:asciiTheme="majorBidi" w:eastAsiaTheme="minorHAnsi" w:hAnsiTheme="majorBidi" w:cstheme="majorBidi"/>
          <w:color w:val="auto"/>
        </w:rPr>
      </w:pPr>
      <w:r w:rsidRPr="00650611">
        <w:rPr>
          <w:rFonts w:asciiTheme="majorBidi" w:eastAsiaTheme="minorHAnsi" w:hAnsiTheme="majorBidi" w:cstheme="majorBidi"/>
          <w:color w:val="auto"/>
        </w:rPr>
        <w:t>Deflection angle &gt;50 (change of CA axis during expiration) is also positive for MALS.</w:t>
      </w:r>
    </w:p>
    <w:p w:rsidR="00D80498" w:rsidRDefault="00D80498" w:rsidP="00407D75">
      <w:pPr>
        <w:pStyle w:val="ListParagraph"/>
        <w:spacing w:line="360" w:lineRule="auto"/>
        <w:rPr>
          <w:rFonts w:ascii="Times New Roman" w:hAnsi="Times New Roman"/>
        </w:rPr>
      </w:pPr>
    </w:p>
    <w:p w:rsidR="00457883" w:rsidRPr="00DA0F3C" w:rsidRDefault="00457883" w:rsidP="008727E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457883">
        <w:rPr>
          <w:rFonts w:ascii="Times New Roman" w:hAnsi="Times New Roman"/>
          <w:b/>
        </w:rPr>
        <w:t xml:space="preserve">References: </w:t>
      </w:r>
    </w:p>
    <w:p w:rsidR="00411E07" w:rsidRPr="00650611" w:rsidRDefault="00411E07" w:rsidP="00650611">
      <w:pPr>
        <w:pStyle w:val="ListParagraph"/>
        <w:numPr>
          <w:ilvl w:val="0"/>
          <w:numId w:val="11"/>
        </w:numPr>
        <w:spacing w:line="360" w:lineRule="auto"/>
      </w:pPr>
      <w:r w:rsidRPr="00650611">
        <w:rPr>
          <w:rFonts w:ascii="Times New Roman" w:hAnsi="Times New Roman"/>
        </w:rPr>
        <w:t xml:space="preserve"> </w:t>
      </w:r>
      <w:hyperlink r:id="rId6" w:history="1">
        <w:r w:rsidR="00650611" w:rsidRPr="00694C5A">
          <w:rPr>
            <w:rStyle w:val="Hyperlink"/>
            <w:rFonts w:ascii="Times New Roman" w:hAnsi="Times New Roman"/>
          </w:rPr>
          <w:t>http://account.svunet.org/files/positions/Mesenteric2013.pdf</w:t>
        </w:r>
      </w:hyperlink>
    </w:p>
    <w:p w:rsidR="00650611" w:rsidRDefault="00B012D7" w:rsidP="004C4889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hyperlink r:id="rId7" w:history="1">
        <w:r w:rsidR="004C4889" w:rsidRPr="00694C5A">
          <w:rPr>
            <w:rStyle w:val="Hyperlink"/>
            <w:rFonts w:asciiTheme="majorBidi" w:hAnsiTheme="majorBidi" w:cstheme="majorBidi"/>
          </w:rPr>
          <w:t>http://www.medultrason.ro/assets/Magazines/Medultrason-2012-vol14-no2/12-Ozel.pdf</w:t>
        </w:r>
      </w:hyperlink>
    </w:p>
    <w:p w:rsidR="004C4889" w:rsidRDefault="00B012D7" w:rsidP="004C4889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hyperlink r:id="rId8" w:history="1">
        <w:r w:rsidR="004C4889" w:rsidRPr="00694C5A">
          <w:rPr>
            <w:rStyle w:val="Hyperlink"/>
            <w:rFonts w:asciiTheme="majorBidi" w:hAnsiTheme="majorBidi" w:cstheme="majorBidi"/>
          </w:rPr>
          <w:t>http://www.researchgate.net/profile/Hannes_Gruber/publication/221683686_Ultrasound_of_the_median_arcuate_ligament_syndrome_a_new_approach_to_diagnosis/links/02e7e51f25123c04e5000000.pdf</w:t>
        </w:r>
      </w:hyperlink>
    </w:p>
    <w:p w:rsidR="004C4889" w:rsidRDefault="00B012D7" w:rsidP="004C4889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hyperlink r:id="rId9" w:history="1">
        <w:r w:rsidR="004C4889" w:rsidRPr="00694C5A">
          <w:rPr>
            <w:rStyle w:val="Hyperlink"/>
            <w:rFonts w:asciiTheme="majorBidi" w:hAnsiTheme="majorBidi" w:cstheme="majorBidi"/>
          </w:rPr>
          <w:t>http://www.lebenskuenstlerin.at/chronischkrank/dunbarfallgeschichte.pdf</w:t>
        </w:r>
      </w:hyperlink>
    </w:p>
    <w:p w:rsidR="004C4889" w:rsidRPr="004C4889" w:rsidRDefault="004C4889" w:rsidP="004C4889">
      <w:pPr>
        <w:pStyle w:val="ListParagraph"/>
        <w:numPr>
          <w:ilvl w:val="0"/>
          <w:numId w:val="11"/>
        </w:numPr>
        <w:spacing w:line="360" w:lineRule="auto"/>
        <w:rPr>
          <w:rFonts w:asciiTheme="majorBidi" w:hAnsiTheme="majorBidi" w:cstheme="majorBidi"/>
        </w:rPr>
      </w:pPr>
      <w:r w:rsidRPr="004C4889">
        <w:rPr>
          <w:rFonts w:asciiTheme="majorBidi" w:hAnsiTheme="majorBidi" w:cstheme="majorBidi"/>
        </w:rPr>
        <w:t>http://radiopaedia.org/cases/median-arcuate-ligament-syndrome-1</w:t>
      </w:r>
    </w:p>
    <w:sectPr w:rsidR="004C4889" w:rsidRPr="004C4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6575"/>
    <w:multiLevelType w:val="hybridMultilevel"/>
    <w:tmpl w:val="3B9077FE"/>
    <w:lvl w:ilvl="0" w:tplc="AEAC7C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5151B"/>
    <w:multiLevelType w:val="hybridMultilevel"/>
    <w:tmpl w:val="77BA9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D2829"/>
    <w:multiLevelType w:val="hybridMultilevel"/>
    <w:tmpl w:val="78C0FA4E"/>
    <w:lvl w:ilvl="0" w:tplc="4A90F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311C81"/>
    <w:multiLevelType w:val="hybridMultilevel"/>
    <w:tmpl w:val="0FD6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56FB7"/>
    <w:multiLevelType w:val="hybridMultilevel"/>
    <w:tmpl w:val="2E8C2C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E7731"/>
    <w:multiLevelType w:val="hybridMultilevel"/>
    <w:tmpl w:val="15105048"/>
    <w:lvl w:ilvl="0" w:tplc="9D040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971361"/>
    <w:multiLevelType w:val="hybridMultilevel"/>
    <w:tmpl w:val="43C0A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6B67D7"/>
    <w:multiLevelType w:val="hybridMultilevel"/>
    <w:tmpl w:val="C5840D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CD57C9"/>
    <w:multiLevelType w:val="hybridMultilevel"/>
    <w:tmpl w:val="E64EF630"/>
    <w:lvl w:ilvl="0" w:tplc="F34AF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F265D2"/>
    <w:multiLevelType w:val="hybridMultilevel"/>
    <w:tmpl w:val="F26A580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242170"/>
    <w:multiLevelType w:val="hybridMultilevel"/>
    <w:tmpl w:val="8C203954"/>
    <w:lvl w:ilvl="0" w:tplc="D3C83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D7407A"/>
    <w:multiLevelType w:val="hybridMultilevel"/>
    <w:tmpl w:val="EA24E3DE"/>
    <w:lvl w:ilvl="0" w:tplc="F078F3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6576EC"/>
    <w:multiLevelType w:val="hybridMultilevel"/>
    <w:tmpl w:val="9DB47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A2A65"/>
    <w:multiLevelType w:val="hybridMultilevel"/>
    <w:tmpl w:val="73C00096"/>
    <w:lvl w:ilvl="0" w:tplc="4508B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EFC6B0C"/>
    <w:multiLevelType w:val="hybridMultilevel"/>
    <w:tmpl w:val="34FC00EE"/>
    <w:lvl w:ilvl="0" w:tplc="98102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07"/>
    <w:rsid w:val="00076C02"/>
    <w:rsid w:val="000A63EF"/>
    <w:rsid w:val="00107B38"/>
    <w:rsid w:val="001C5B70"/>
    <w:rsid w:val="001D72F4"/>
    <w:rsid w:val="002B13A2"/>
    <w:rsid w:val="00407D75"/>
    <w:rsid w:val="00411E07"/>
    <w:rsid w:val="004164EE"/>
    <w:rsid w:val="00424B2C"/>
    <w:rsid w:val="00457883"/>
    <w:rsid w:val="004C4889"/>
    <w:rsid w:val="004D2C36"/>
    <w:rsid w:val="004E57FF"/>
    <w:rsid w:val="00510436"/>
    <w:rsid w:val="00542391"/>
    <w:rsid w:val="00591E9C"/>
    <w:rsid w:val="005B140F"/>
    <w:rsid w:val="005B3350"/>
    <w:rsid w:val="006232C6"/>
    <w:rsid w:val="00650611"/>
    <w:rsid w:val="00787C1C"/>
    <w:rsid w:val="007B38D7"/>
    <w:rsid w:val="00822008"/>
    <w:rsid w:val="00870958"/>
    <w:rsid w:val="008727ED"/>
    <w:rsid w:val="008A1420"/>
    <w:rsid w:val="00917363"/>
    <w:rsid w:val="00A04D6A"/>
    <w:rsid w:val="00A84245"/>
    <w:rsid w:val="00B012D7"/>
    <w:rsid w:val="00BF747F"/>
    <w:rsid w:val="00D80498"/>
    <w:rsid w:val="00D96D9F"/>
    <w:rsid w:val="00DA0F3C"/>
    <w:rsid w:val="00DB3F67"/>
    <w:rsid w:val="00DC2D56"/>
    <w:rsid w:val="00E328FF"/>
    <w:rsid w:val="00E578A4"/>
    <w:rsid w:val="00EA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0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83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E0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E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883"/>
    <w:rPr>
      <w:rFonts w:ascii="Tahoma" w:eastAsia="ヒラギノ角ゴ Pro W3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profile/Hannes_Gruber/publication/221683686_Ultrasound_of_the_median_arcuate_ligament_syndrome_a_new_approach_to_diagnosis/links/02e7e51f25123c04e5000000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dultrason.ro/assets/Magazines/Medultrason-2012-vol14-no2/12-Oz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count.svunet.org/files/positions/Mesenteric2013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benskuenstlerin.at/chronischkrank/dunbarfallgeschich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National Medical Center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Anjum Bandarkar, MD</dc:creator>
  <cp:lastModifiedBy>Anjum Bandarkar</cp:lastModifiedBy>
  <cp:revision>2</cp:revision>
  <cp:lastPrinted>2014-01-24T19:49:00Z</cp:lastPrinted>
  <dcterms:created xsi:type="dcterms:W3CDTF">2015-06-26T15:09:00Z</dcterms:created>
  <dcterms:modified xsi:type="dcterms:W3CDTF">2015-06-26T15:09:00Z</dcterms:modified>
</cp:coreProperties>
</file>