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BE78" w14:textId="77777777" w:rsidR="00B5248E" w:rsidRPr="00804B69" w:rsidRDefault="00804B69">
      <w:pPr>
        <w:rPr>
          <w:rFonts w:ascii="Calibri" w:hAnsi="Calibri"/>
          <w:b/>
          <w:sz w:val="22"/>
          <w:szCs w:val="22"/>
        </w:rPr>
      </w:pPr>
      <w:r w:rsidRPr="00804B69">
        <w:rPr>
          <w:rFonts w:ascii="Calibri" w:hAnsi="Calibri"/>
          <w:b/>
          <w:sz w:val="22"/>
          <w:szCs w:val="22"/>
        </w:rPr>
        <w:t xml:space="preserve">CA-TIC Module References: </w:t>
      </w:r>
    </w:p>
    <w:p w14:paraId="3B8D1A9D" w14:textId="219ECCA4" w:rsidR="00A90088" w:rsidRDefault="00A90088" w:rsidP="00BC1108">
      <w:pPr>
        <w:pStyle w:val="ListParagrap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“Adverse Childhood Experiences.”  Centers for Disease Control and Prevention. Available at: </w:t>
      </w:r>
      <w:bookmarkStart w:id="0" w:name="_GoBack"/>
      <w:bookmarkEnd w:id="0"/>
      <w:r w:rsidRPr="00A90088">
        <w:rPr>
          <w:color w:val="auto"/>
          <w:sz w:val="22"/>
          <w:szCs w:val="22"/>
        </w:rPr>
        <w:t>https://www.cdc.gov/violenceprevention/childabuseandneglect/acestudy/index.html</w:t>
      </w:r>
    </w:p>
    <w:p w14:paraId="6AEAEB24" w14:textId="77777777" w:rsidR="00BC1108" w:rsidRPr="00922D38" w:rsidRDefault="00BC1108" w:rsidP="00BC1108">
      <w:pPr>
        <w:pStyle w:val="ListParagraph"/>
        <w:rPr>
          <w:color w:val="auto"/>
          <w:sz w:val="22"/>
          <w:szCs w:val="22"/>
        </w:rPr>
      </w:pPr>
      <w:r w:rsidRPr="00922D38">
        <w:rPr>
          <w:color w:val="auto"/>
          <w:sz w:val="22"/>
          <w:szCs w:val="22"/>
        </w:rPr>
        <w:t xml:space="preserve">Brown, Nicole M, Brown, Suzette N, Briggs, </w:t>
      </w:r>
      <w:proofErr w:type="spellStart"/>
      <w:r w:rsidRPr="00922D38">
        <w:rPr>
          <w:color w:val="auto"/>
          <w:sz w:val="22"/>
          <w:szCs w:val="22"/>
        </w:rPr>
        <w:t>Rahil</w:t>
      </w:r>
      <w:proofErr w:type="spellEnd"/>
      <w:r w:rsidRPr="00922D38">
        <w:rPr>
          <w:color w:val="auto"/>
          <w:sz w:val="22"/>
          <w:szCs w:val="22"/>
        </w:rPr>
        <w:t xml:space="preserve"> D, </w:t>
      </w:r>
      <w:proofErr w:type="spellStart"/>
      <w:r w:rsidRPr="00922D38">
        <w:rPr>
          <w:color w:val="auto"/>
          <w:sz w:val="22"/>
          <w:szCs w:val="22"/>
        </w:rPr>
        <w:t>Germán</w:t>
      </w:r>
      <w:proofErr w:type="spellEnd"/>
      <w:r w:rsidRPr="00922D38">
        <w:rPr>
          <w:color w:val="auto"/>
          <w:sz w:val="22"/>
          <w:szCs w:val="22"/>
        </w:rPr>
        <w:t xml:space="preserve">, </w:t>
      </w:r>
      <w:proofErr w:type="spellStart"/>
      <w:r w:rsidRPr="00922D38">
        <w:rPr>
          <w:color w:val="auto"/>
          <w:sz w:val="22"/>
          <w:szCs w:val="22"/>
        </w:rPr>
        <w:t>Miguelina</w:t>
      </w:r>
      <w:proofErr w:type="spellEnd"/>
      <w:r w:rsidRPr="00922D38">
        <w:rPr>
          <w:color w:val="auto"/>
          <w:sz w:val="22"/>
          <w:szCs w:val="22"/>
        </w:rPr>
        <w:t xml:space="preserve">, </w:t>
      </w:r>
      <w:proofErr w:type="spellStart"/>
      <w:r w:rsidRPr="00922D38">
        <w:rPr>
          <w:color w:val="auto"/>
          <w:sz w:val="22"/>
          <w:szCs w:val="22"/>
        </w:rPr>
        <w:t>Belamarich</w:t>
      </w:r>
      <w:proofErr w:type="spellEnd"/>
      <w:r w:rsidRPr="00922D38">
        <w:rPr>
          <w:color w:val="auto"/>
          <w:sz w:val="22"/>
          <w:szCs w:val="22"/>
        </w:rPr>
        <w:t xml:space="preserve">, Peter F, </w:t>
      </w:r>
      <w:proofErr w:type="spellStart"/>
      <w:r w:rsidRPr="00922D38">
        <w:rPr>
          <w:color w:val="auto"/>
          <w:sz w:val="22"/>
          <w:szCs w:val="22"/>
        </w:rPr>
        <w:t>Oyeku</w:t>
      </w:r>
      <w:proofErr w:type="spellEnd"/>
      <w:r w:rsidRPr="00922D38">
        <w:rPr>
          <w:color w:val="auto"/>
          <w:sz w:val="22"/>
          <w:szCs w:val="22"/>
        </w:rPr>
        <w:t>, Suzette O. Associations Between Adverse Childhood Experiences and ADHD Diagnosis and Severity. </w:t>
      </w:r>
      <w:r w:rsidRPr="00922D38">
        <w:rPr>
          <w:i/>
          <w:iCs/>
          <w:color w:val="auto"/>
          <w:sz w:val="22"/>
          <w:szCs w:val="22"/>
        </w:rPr>
        <w:t>Academic Pediatrics</w:t>
      </w:r>
      <w:r w:rsidRPr="00922D38">
        <w:rPr>
          <w:color w:val="auto"/>
          <w:sz w:val="22"/>
          <w:szCs w:val="22"/>
        </w:rPr>
        <w:t>. 2017</w:t>
      </w:r>
      <w:proofErr w:type="gramStart"/>
      <w:r w:rsidRPr="00922D38">
        <w:rPr>
          <w:color w:val="auto"/>
          <w:sz w:val="22"/>
          <w:szCs w:val="22"/>
        </w:rPr>
        <w:t>;17</w:t>
      </w:r>
      <w:proofErr w:type="gramEnd"/>
      <w:r w:rsidRPr="00922D38">
        <w:rPr>
          <w:color w:val="auto"/>
          <w:sz w:val="22"/>
          <w:szCs w:val="22"/>
        </w:rPr>
        <w:t xml:space="preserve">(4):349-355. </w:t>
      </w:r>
      <w:proofErr w:type="gramStart"/>
      <w:r w:rsidRPr="00922D38">
        <w:rPr>
          <w:color w:val="auto"/>
          <w:sz w:val="22"/>
          <w:szCs w:val="22"/>
        </w:rPr>
        <w:t>doi:10.1016</w:t>
      </w:r>
      <w:proofErr w:type="gramEnd"/>
      <w:r w:rsidRPr="00922D38">
        <w:rPr>
          <w:color w:val="auto"/>
          <w:sz w:val="22"/>
          <w:szCs w:val="22"/>
        </w:rPr>
        <w:t>/j.acap.2016.08.013</w:t>
      </w:r>
    </w:p>
    <w:p w14:paraId="514BBAFD" w14:textId="77777777" w:rsidR="00804B69" w:rsidRPr="00922D38" w:rsidRDefault="00804B69" w:rsidP="00804B69">
      <w:pPr>
        <w:pStyle w:val="ListParagraph"/>
        <w:rPr>
          <w:rFonts w:cs="Times New Roman"/>
          <w:sz w:val="22"/>
          <w:szCs w:val="22"/>
        </w:rPr>
      </w:pPr>
      <w:proofErr w:type="spellStart"/>
      <w:r w:rsidRPr="00922D38">
        <w:rPr>
          <w:rFonts w:cs="Times New Roman"/>
          <w:sz w:val="22"/>
          <w:szCs w:val="22"/>
        </w:rPr>
        <w:t>Felitti</w:t>
      </w:r>
      <w:proofErr w:type="spellEnd"/>
      <w:r w:rsidRPr="00922D38">
        <w:rPr>
          <w:rFonts w:cs="Times New Roman"/>
          <w:sz w:val="22"/>
          <w:szCs w:val="22"/>
        </w:rPr>
        <w:t xml:space="preserve"> VJ, </w:t>
      </w:r>
      <w:proofErr w:type="spellStart"/>
      <w:r w:rsidRPr="00922D38">
        <w:rPr>
          <w:rFonts w:cs="Times New Roman"/>
          <w:sz w:val="22"/>
          <w:szCs w:val="22"/>
        </w:rPr>
        <w:t>Anda</w:t>
      </w:r>
      <w:proofErr w:type="spellEnd"/>
      <w:r w:rsidRPr="00922D38">
        <w:rPr>
          <w:rFonts w:cs="Times New Roman"/>
          <w:sz w:val="22"/>
          <w:szCs w:val="22"/>
        </w:rPr>
        <w:t xml:space="preserve"> RF, </w:t>
      </w:r>
      <w:proofErr w:type="spellStart"/>
      <w:r w:rsidRPr="00922D38">
        <w:rPr>
          <w:rFonts w:cs="Times New Roman"/>
          <w:sz w:val="22"/>
          <w:szCs w:val="22"/>
        </w:rPr>
        <w:t>Nordenberg</w:t>
      </w:r>
      <w:proofErr w:type="spellEnd"/>
      <w:r w:rsidRPr="00922D38">
        <w:rPr>
          <w:rFonts w:cs="Times New Roman"/>
          <w:sz w:val="22"/>
          <w:szCs w:val="22"/>
        </w:rPr>
        <w:t xml:space="preserve"> D, et al. Relationship of childhood abuse and household dysfunction to many of the leading causes of death in adults. The Adverse Childhood Experiences (ACE) Study. </w:t>
      </w:r>
      <w:r w:rsidRPr="00922D38">
        <w:rPr>
          <w:rFonts w:cs="Times New Roman"/>
          <w:i/>
          <w:iCs/>
          <w:sz w:val="22"/>
          <w:szCs w:val="22"/>
        </w:rPr>
        <w:t xml:space="preserve">Am J </w:t>
      </w:r>
      <w:proofErr w:type="spellStart"/>
      <w:r w:rsidRPr="00922D38">
        <w:rPr>
          <w:rFonts w:cs="Times New Roman"/>
          <w:i/>
          <w:iCs/>
          <w:sz w:val="22"/>
          <w:szCs w:val="22"/>
        </w:rPr>
        <w:t>Prev</w:t>
      </w:r>
      <w:proofErr w:type="spellEnd"/>
      <w:r w:rsidRPr="00922D38">
        <w:rPr>
          <w:rFonts w:cs="Times New Roman"/>
          <w:i/>
          <w:iCs/>
          <w:sz w:val="22"/>
          <w:szCs w:val="22"/>
        </w:rPr>
        <w:t xml:space="preserve"> Med</w:t>
      </w:r>
      <w:r w:rsidRPr="00922D38">
        <w:rPr>
          <w:rFonts w:cs="Times New Roman"/>
          <w:sz w:val="22"/>
          <w:szCs w:val="22"/>
        </w:rPr>
        <w:t>. 1998</w:t>
      </w:r>
      <w:proofErr w:type="gramStart"/>
      <w:r w:rsidRPr="00922D38">
        <w:rPr>
          <w:rFonts w:cs="Times New Roman"/>
          <w:sz w:val="22"/>
          <w:szCs w:val="22"/>
        </w:rPr>
        <w:t>;14:245</w:t>
      </w:r>
      <w:proofErr w:type="gramEnd"/>
      <w:r w:rsidRPr="00922D38">
        <w:rPr>
          <w:rFonts w:cs="Times New Roman"/>
          <w:sz w:val="22"/>
          <w:szCs w:val="22"/>
        </w:rPr>
        <w:t xml:space="preserve">–258. </w:t>
      </w:r>
    </w:p>
    <w:p w14:paraId="61515FF0" w14:textId="77777777" w:rsidR="00BC1108" w:rsidRPr="00922D38" w:rsidRDefault="00BC1108" w:rsidP="00BC1108">
      <w:pPr>
        <w:pStyle w:val="ListParagraph"/>
        <w:rPr>
          <w:rFonts w:cs="Times New Roman"/>
          <w:color w:val="auto"/>
          <w:sz w:val="22"/>
          <w:szCs w:val="22"/>
        </w:rPr>
      </w:pPr>
      <w:r w:rsidRPr="00922D38">
        <w:rPr>
          <w:color w:val="auto"/>
          <w:sz w:val="22"/>
          <w:szCs w:val="22"/>
        </w:rPr>
        <w:t xml:space="preserve">Garner A, </w:t>
      </w:r>
      <w:proofErr w:type="spellStart"/>
      <w:r w:rsidRPr="00922D38">
        <w:rPr>
          <w:color w:val="auto"/>
          <w:sz w:val="22"/>
          <w:szCs w:val="22"/>
        </w:rPr>
        <w:t>Shonkoff</w:t>
      </w:r>
      <w:proofErr w:type="spellEnd"/>
      <w:r w:rsidRPr="00922D38">
        <w:rPr>
          <w:color w:val="auto"/>
          <w:sz w:val="22"/>
          <w:szCs w:val="22"/>
        </w:rPr>
        <w:t xml:space="preserve"> J, Siegel B, Dobbins M, Earls M, Garner A et al. Early Childhood Adversity, Toxic Stress, and the Role of the Pediatrician: Translating Developmental Science Into Lifelong Health. Pediatrics. 2011</w:t>
      </w:r>
      <w:proofErr w:type="gramStart"/>
      <w:r w:rsidRPr="00922D38">
        <w:rPr>
          <w:color w:val="auto"/>
          <w:sz w:val="22"/>
          <w:szCs w:val="22"/>
        </w:rPr>
        <w:t>;129</w:t>
      </w:r>
      <w:proofErr w:type="gramEnd"/>
      <w:r w:rsidRPr="00922D38">
        <w:rPr>
          <w:color w:val="auto"/>
          <w:sz w:val="22"/>
          <w:szCs w:val="22"/>
        </w:rPr>
        <w:t>(1):e224-e231.</w:t>
      </w:r>
      <w:r w:rsidRPr="00922D38">
        <w:rPr>
          <w:rStyle w:val="apple-converted-space"/>
          <w:rFonts w:cs="Times New Roman"/>
          <w:color w:val="auto"/>
          <w:sz w:val="22"/>
          <w:szCs w:val="22"/>
        </w:rPr>
        <w:t> </w:t>
      </w:r>
    </w:p>
    <w:p w14:paraId="09DA66D6" w14:textId="77777777" w:rsidR="00BC1108" w:rsidRPr="00922D38" w:rsidRDefault="00BC1108" w:rsidP="00BC1108">
      <w:pPr>
        <w:pStyle w:val="ListParagraph"/>
        <w:rPr>
          <w:color w:val="auto"/>
          <w:sz w:val="22"/>
          <w:szCs w:val="22"/>
        </w:rPr>
      </w:pPr>
      <w:r w:rsidRPr="00922D38">
        <w:rPr>
          <w:color w:val="auto"/>
          <w:sz w:val="22"/>
          <w:szCs w:val="22"/>
        </w:rPr>
        <w:t>Ginsburg, Kenneth R., Kinsman, Sara B. Reaching Teens</w:t>
      </w:r>
      <w:r w:rsidRPr="00922D38">
        <w:rPr>
          <w:rFonts w:cs="Times New Roman"/>
          <w:color w:val="auto"/>
          <w:sz w:val="22"/>
          <w:szCs w:val="22"/>
        </w:rPr>
        <w:t> </w:t>
      </w:r>
      <w:r w:rsidRPr="00922D38">
        <w:rPr>
          <w:color w:val="auto"/>
          <w:sz w:val="22"/>
          <w:szCs w:val="22"/>
        </w:rPr>
        <w:t xml:space="preserve">: Strength-Based Communication Strategies to Build Resilience and Support Healthy Adolescent </w:t>
      </w:r>
      <w:proofErr w:type="gramStart"/>
      <w:r w:rsidRPr="00922D38">
        <w:rPr>
          <w:color w:val="auto"/>
          <w:sz w:val="22"/>
          <w:szCs w:val="22"/>
        </w:rPr>
        <w:t>Development .</w:t>
      </w:r>
      <w:proofErr w:type="gramEnd"/>
      <w:r w:rsidRPr="00922D38">
        <w:rPr>
          <w:color w:val="auto"/>
          <w:sz w:val="22"/>
          <w:szCs w:val="22"/>
        </w:rPr>
        <w:t xml:space="preserve"> Elk Grove Village, Illinois: American Academy of Pediatrics; 2014.</w:t>
      </w:r>
    </w:p>
    <w:p w14:paraId="1AA7E1C2" w14:textId="77777777" w:rsidR="00BC1108" w:rsidRPr="00922D38" w:rsidRDefault="00BC1108" w:rsidP="00BC1108">
      <w:pPr>
        <w:pStyle w:val="ListParagraph"/>
        <w:rPr>
          <w:color w:val="auto"/>
          <w:sz w:val="22"/>
          <w:szCs w:val="22"/>
        </w:rPr>
      </w:pPr>
      <w:r w:rsidRPr="00922D38">
        <w:rPr>
          <w:color w:val="auto"/>
          <w:sz w:val="22"/>
          <w:szCs w:val="22"/>
        </w:rPr>
        <w:t xml:space="preserve">National Pediatric Practice Community on ACEs.  </w:t>
      </w:r>
      <w:hyperlink r:id="rId6" w:history="1">
        <w:r w:rsidRPr="00922D38">
          <w:rPr>
            <w:rStyle w:val="Hyperlink"/>
            <w:color w:val="auto"/>
            <w:sz w:val="22"/>
            <w:szCs w:val="22"/>
          </w:rPr>
          <w:t>https://www.nppcacesmembers.org/knowledge-base/determine-your-course/</w:t>
        </w:r>
      </w:hyperlink>
      <w:r w:rsidRPr="00922D38">
        <w:rPr>
          <w:color w:val="auto"/>
          <w:sz w:val="22"/>
          <w:szCs w:val="22"/>
        </w:rPr>
        <w:t xml:space="preserve">.  </w:t>
      </w:r>
    </w:p>
    <w:p w14:paraId="358C83ED" w14:textId="77777777" w:rsidR="006D2B43" w:rsidRPr="00922D38" w:rsidRDefault="006D2B43" w:rsidP="006D2B43">
      <w:pPr>
        <w:pStyle w:val="ListParagraph"/>
        <w:rPr>
          <w:color w:val="auto"/>
          <w:sz w:val="22"/>
          <w:szCs w:val="22"/>
        </w:rPr>
      </w:pPr>
      <w:r w:rsidRPr="00922D38">
        <w:rPr>
          <w:color w:val="auto"/>
          <w:sz w:val="22"/>
          <w:szCs w:val="22"/>
        </w:rPr>
        <w:t xml:space="preserve">Miller AL, Dawson L, Welker E. </w:t>
      </w:r>
      <w:r w:rsidRPr="00922D38">
        <w:rPr>
          <w:i/>
          <w:iCs/>
          <w:color w:val="auto"/>
          <w:sz w:val="22"/>
          <w:szCs w:val="22"/>
        </w:rPr>
        <w:t xml:space="preserve">Early Life Stress and Childhood Obesity Risk. </w:t>
      </w:r>
      <w:r w:rsidRPr="00922D38">
        <w:rPr>
          <w:color w:val="auto"/>
          <w:sz w:val="22"/>
          <w:szCs w:val="22"/>
        </w:rPr>
        <w:t xml:space="preserve">Durham, NC: Healthy Eating Research; 2017. Available at: </w:t>
      </w:r>
      <w:r w:rsidRPr="00922D38">
        <w:rPr>
          <w:i/>
          <w:iCs/>
          <w:color w:val="auto"/>
          <w:sz w:val="22"/>
          <w:szCs w:val="22"/>
        </w:rPr>
        <w:t xml:space="preserve">http://www.healthyeatingresearch.org. </w:t>
      </w:r>
    </w:p>
    <w:p w14:paraId="6AADFAA1" w14:textId="77777777" w:rsidR="00BC1108" w:rsidRPr="00922D38" w:rsidRDefault="00BC1108" w:rsidP="00BC1108">
      <w:pPr>
        <w:pStyle w:val="ListParagraph"/>
        <w:rPr>
          <w:color w:val="auto"/>
          <w:sz w:val="22"/>
          <w:szCs w:val="22"/>
        </w:rPr>
      </w:pPr>
      <w:r w:rsidRPr="00922D38">
        <w:rPr>
          <w:color w:val="auto"/>
          <w:sz w:val="22"/>
          <w:szCs w:val="22"/>
        </w:rPr>
        <w:t xml:space="preserve">“Resilience Project.” American Academy of Pediatrics. </w:t>
      </w:r>
      <w:hyperlink r:id="rId7" w:history="1">
        <w:r w:rsidRPr="00922D38">
          <w:rPr>
            <w:rStyle w:val="Hyperlink"/>
            <w:color w:val="auto"/>
            <w:sz w:val="22"/>
            <w:szCs w:val="22"/>
          </w:rPr>
          <w:t>https://www.aap.org/en-us/advocacy-and-policy/aap-health-initiatives/resilience/Pages/Resilience-Project.aspx</w:t>
        </w:r>
      </w:hyperlink>
    </w:p>
    <w:p w14:paraId="2F74E308" w14:textId="77777777" w:rsidR="00BC1108" w:rsidRPr="00922D38" w:rsidRDefault="00BC1108" w:rsidP="00BC1108">
      <w:pPr>
        <w:pStyle w:val="ListParagraph"/>
        <w:widowControl w:val="0"/>
        <w:autoSpaceDE w:val="0"/>
        <w:autoSpaceDN w:val="0"/>
        <w:adjustRightInd w:val="0"/>
        <w:spacing w:before="120" w:after="240"/>
        <w:rPr>
          <w:rFonts w:cs="Times New Roman"/>
          <w:color w:val="auto"/>
          <w:sz w:val="22"/>
          <w:szCs w:val="22"/>
        </w:rPr>
      </w:pPr>
      <w:proofErr w:type="spellStart"/>
      <w:r w:rsidRPr="00922D38">
        <w:rPr>
          <w:rFonts w:cs="Times New Roman"/>
          <w:sz w:val="22"/>
          <w:szCs w:val="22"/>
        </w:rPr>
        <w:t>Shonkoff</w:t>
      </w:r>
      <w:proofErr w:type="spellEnd"/>
      <w:r w:rsidRPr="00922D38">
        <w:rPr>
          <w:rFonts w:cs="Times New Roman"/>
          <w:sz w:val="22"/>
          <w:szCs w:val="22"/>
        </w:rPr>
        <w:t xml:space="preserve"> JP, Garner AS, Siegel BS, et al; Committee on Psychosocial Aspects of Child and </w:t>
      </w:r>
      <w:r w:rsidRPr="00922D38">
        <w:rPr>
          <w:rFonts w:cs="Times New Roman"/>
          <w:color w:val="auto"/>
          <w:sz w:val="22"/>
          <w:szCs w:val="22"/>
        </w:rPr>
        <w:t xml:space="preserve">Family Health; Committee on Early Childhood, Adoption, and Dependent Care; Section on Developmental and Behavioral Pediatrics. The lifelong effects of early childhood adversity and toxic stress. </w:t>
      </w:r>
      <w:r w:rsidRPr="00922D38">
        <w:rPr>
          <w:rFonts w:cs="Times New Roman"/>
          <w:i/>
          <w:iCs/>
          <w:color w:val="auto"/>
          <w:sz w:val="22"/>
          <w:szCs w:val="22"/>
        </w:rPr>
        <w:t>Pediatrics</w:t>
      </w:r>
      <w:r w:rsidRPr="00922D38">
        <w:rPr>
          <w:rFonts w:cs="Times New Roman"/>
          <w:color w:val="auto"/>
          <w:sz w:val="22"/>
          <w:szCs w:val="22"/>
        </w:rPr>
        <w:t>. 2012</w:t>
      </w:r>
      <w:proofErr w:type="gramStart"/>
      <w:r w:rsidRPr="00922D38">
        <w:rPr>
          <w:rFonts w:cs="Times New Roman"/>
          <w:color w:val="auto"/>
          <w:sz w:val="22"/>
          <w:szCs w:val="22"/>
        </w:rPr>
        <w:t>;129:e232</w:t>
      </w:r>
      <w:proofErr w:type="gramEnd"/>
      <w:r w:rsidRPr="00922D38">
        <w:rPr>
          <w:rFonts w:cs="Times New Roman"/>
          <w:color w:val="auto"/>
          <w:sz w:val="22"/>
          <w:szCs w:val="22"/>
        </w:rPr>
        <w:t xml:space="preserve">–e246. </w:t>
      </w:r>
    </w:p>
    <w:p w14:paraId="32367D01" w14:textId="77777777" w:rsidR="00BC1108" w:rsidRPr="00922D38" w:rsidRDefault="00BC1108" w:rsidP="00BC1108">
      <w:pPr>
        <w:pStyle w:val="ListParagraph"/>
        <w:rPr>
          <w:rFonts w:cs="Times New Roman"/>
          <w:color w:val="auto"/>
          <w:sz w:val="22"/>
          <w:szCs w:val="22"/>
        </w:rPr>
      </w:pPr>
      <w:r w:rsidRPr="00922D38">
        <w:rPr>
          <w:rFonts w:cs="Times New Roman"/>
          <w:color w:val="auto"/>
          <w:sz w:val="22"/>
          <w:szCs w:val="22"/>
        </w:rPr>
        <w:t>Substance Abuse and Mental Health Services Administration.</w:t>
      </w:r>
      <w:r w:rsidRPr="00922D38">
        <w:rPr>
          <w:rFonts w:cs="Times New Roman"/>
          <w:i/>
          <w:iCs/>
          <w:color w:val="auto"/>
          <w:sz w:val="22"/>
          <w:szCs w:val="22"/>
        </w:rPr>
        <w:t xml:space="preserve"> SAMHSA’s Concept of Trauma and Guidance for a Trauma-Informed Approach </w:t>
      </w:r>
      <w:r w:rsidRPr="00922D38">
        <w:rPr>
          <w:rFonts w:cs="Times New Roman"/>
          <w:color w:val="auto"/>
          <w:sz w:val="22"/>
          <w:szCs w:val="22"/>
        </w:rPr>
        <w:t>(HHS Publication No. SMA 14-4884). Rockville, MD: Substance Abuse and Mental Health Services Administration; 2014.</w:t>
      </w:r>
    </w:p>
    <w:p w14:paraId="24F94563" w14:textId="2D1EADCF" w:rsidR="00922D38" w:rsidRPr="00922D38" w:rsidRDefault="00BC1108" w:rsidP="00922D3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22D38">
        <w:rPr>
          <w:color w:val="auto"/>
          <w:sz w:val="22"/>
          <w:szCs w:val="22"/>
        </w:rPr>
        <w:t>“</w:t>
      </w:r>
      <w:r w:rsidRPr="00922D38">
        <w:rPr>
          <w:rStyle w:val="Emphasis"/>
          <w:rFonts w:cs="Times New Roman"/>
          <w:i w:val="0"/>
          <w:color w:val="auto"/>
          <w:sz w:val="22"/>
          <w:szCs w:val="22"/>
        </w:rPr>
        <w:t>Supportive Relationships and Active Skill-Building Strengthen the Foundations of Resilience: Working Paper No. 13</w:t>
      </w:r>
      <w:r w:rsidRPr="00922D38">
        <w:rPr>
          <w:i/>
          <w:color w:val="auto"/>
          <w:sz w:val="22"/>
          <w:szCs w:val="22"/>
        </w:rPr>
        <w:t>.”</w:t>
      </w:r>
      <w:r w:rsidRPr="00922D38">
        <w:rPr>
          <w:color w:val="auto"/>
          <w:sz w:val="22"/>
          <w:szCs w:val="22"/>
        </w:rPr>
        <w:t xml:space="preserve"> Center on the Developing Child at Harvard University.</w:t>
      </w:r>
      <w:r w:rsidR="004820AC">
        <w:rPr>
          <w:color w:val="auto"/>
          <w:sz w:val="22"/>
          <w:szCs w:val="22"/>
        </w:rPr>
        <w:t xml:space="preserve"> Available at:</w:t>
      </w:r>
      <w:r w:rsidRPr="00922D38">
        <w:rPr>
          <w:color w:val="auto"/>
          <w:sz w:val="22"/>
          <w:szCs w:val="22"/>
        </w:rPr>
        <w:t xml:space="preserve"> </w:t>
      </w:r>
      <w:hyperlink r:id="rId8" w:history="1">
        <w:r w:rsidRPr="00922D38">
          <w:rPr>
            <w:rStyle w:val="Hyperlink"/>
            <w:rFonts w:cs="Times New Roman"/>
            <w:color w:val="auto"/>
            <w:sz w:val="22"/>
            <w:szCs w:val="22"/>
          </w:rPr>
          <w:t>www.developingchild.harvard.edu</w:t>
        </w:r>
      </w:hyperlink>
    </w:p>
    <w:p w14:paraId="6A785246" w14:textId="09E7A768" w:rsidR="00922D38" w:rsidRPr="00922D38" w:rsidRDefault="00922D38" w:rsidP="00922D38">
      <w:pPr>
        <w:pStyle w:val="ListParagrap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“</w:t>
      </w:r>
      <w:r w:rsidRPr="00BC1108">
        <w:rPr>
          <w:color w:val="auto"/>
          <w:sz w:val="22"/>
          <w:szCs w:val="22"/>
        </w:rPr>
        <w:t>Trauma toolbox for primary care.</w:t>
      </w:r>
      <w:r>
        <w:rPr>
          <w:color w:val="auto"/>
          <w:sz w:val="22"/>
          <w:szCs w:val="22"/>
        </w:rPr>
        <w:t xml:space="preserve">” American </w:t>
      </w:r>
      <w:proofErr w:type="spellStart"/>
      <w:r>
        <w:rPr>
          <w:color w:val="auto"/>
          <w:sz w:val="22"/>
          <w:szCs w:val="22"/>
        </w:rPr>
        <w:t>Academcy</w:t>
      </w:r>
      <w:proofErr w:type="spellEnd"/>
      <w:r>
        <w:rPr>
          <w:color w:val="auto"/>
          <w:sz w:val="22"/>
          <w:szCs w:val="22"/>
        </w:rPr>
        <w:t xml:space="preserve"> of Pediatrics.</w:t>
      </w:r>
      <w:r w:rsidRPr="00BC1108">
        <w:rPr>
          <w:color w:val="auto"/>
          <w:sz w:val="22"/>
          <w:szCs w:val="22"/>
        </w:rPr>
        <w:t xml:space="preserve"> 2014. Available </w:t>
      </w:r>
      <w:r w:rsidRPr="00922D38">
        <w:rPr>
          <w:color w:val="auto"/>
          <w:sz w:val="22"/>
          <w:szCs w:val="22"/>
        </w:rPr>
        <w:t xml:space="preserve">at: </w:t>
      </w:r>
      <w:r w:rsidRPr="00922D38">
        <w:rPr>
          <w:rFonts w:eastAsiaTheme="minorHAnsi"/>
          <w:shd w:val="clear" w:color="auto" w:fill="auto"/>
        </w:rPr>
        <w:fldChar w:fldCharType="begin"/>
      </w:r>
      <w:r w:rsidRPr="00922D38">
        <w:rPr>
          <w:color w:val="auto"/>
          <w:sz w:val="22"/>
          <w:szCs w:val="22"/>
        </w:rPr>
        <w:instrText xml:space="preserve"> HYPERLINK "https://www.aap.org/en-us/advocacy-and-policy/aap-health-initiatives/healthy-foster-care-america/Pages/Trauma-Guide.aspx" \t "xrefwindow" </w:instrText>
      </w:r>
      <w:r w:rsidRPr="00922D38">
        <w:rPr>
          <w:rFonts w:eastAsiaTheme="minorHAnsi"/>
          <w:shd w:val="clear" w:color="auto" w:fill="auto"/>
        </w:rPr>
        <w:fldChar w:fldCharType="separate"/>
      </w:r>
      <w:r w:rsidRPr="00922D38">
        <w:rPr>
          <w:rStyle w:val="Hyperlink"/>
          <w:rFonts w:eastAsiaTheme="minorHAnsi" w:cs="Times New Roman"/>
          <w:color w:val="auto"/>
          <w:sz w:val="22"/>
          <w:szCs w:val="22"/>
        </w:rPr>
        <w:t>https://www.aap.org/en-us/advocacy-and-policy/aap-health-initiatives/healthy-foster-care-america/Pages/Trauma-Guide.aspx</w:t>
      </w:r>
      <w:r w:rsidRPr="00922D38">
        <w:rPr>
          <w:rStyle w:val="Hyperlink"/>
          <w:rFonts w:eastAsiaTheme="minorHAnsi" w:cs="Times New Roman"/>
          <w:color w:val="auto"/>
          <w:sz w:val="22"/>
          <w:szCs w:val="22"/>
        </w:rPr>
        <w:fldChar w:fldCharType="end"/>
      </w:r>
      <w:r w:rsidRPr="00922D38">
        <w:rPr>
          <w:color w:val="auto"/>
          <w:sz w:val="22"/>
          <w:szCs w:val="22"/>
        </w:rPr>
        <w:t>.</w:t>
      </w:r>
    </w:p>
    <w:p w14:paraId="43A5C6AE" w14:textId="77777777" w:rsidR="00804B69" w:rsidRPr="00922D38" w:rsidRDefault="00804B69" w:rsidP="00922D38">
      <w:pPr>
        <w:rPr>
          <w:sz w:val="22"/>
          <w:szCs w:val="22"/>
        </w:rPr>
      </w:pPr>
    </w:p>
    <w:p w14:paraId="49C3D428" w14:textId="77777777" w:rsidR="00804B69" w:rsidRPr="002B6D3D" w:rsidRDefault="00804B69">
      <w:pPr>
        <w:rPr>
          <w:sz w:val="22"/>
          <w:szCs w:val="22"/>
        </w:rPr>
      </w:pPr>
    </w:p>
    <w:sectPr w:rsidR="00804B69" w:rsidRPr="002B6D3D" w:rsidSect="00B524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28"/>
    <w:multiLevelType w:val="hybridMultilevel"/>
    <w:tmpl w:val="108C3180"/>
    <w:lvl w:ilvl="0" w:tplc="7416CD1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B14"/>
    <w:multiLevelType w:val="hybridMultilevel"/>
    <w:tmpl w:val="07BAC920"/>
    <w:lvl w:ilvl="0" w:tplc="888E56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9"/>
    <w:rsid w:val="002B6D3D"/>
    <w:rsid w:val="004820AC"/>
    <w:rsid w:val="006D2B43"/>
    <w:rsid w:val="00804B69"/>
    <w:rsid w:val="00922D38"/>
    <w:rsid w:val="00A90088"/>
    <w:rsid w:val="00B5248E"/>
    <w:rsid w:val="00BC1108"/>
    <w:rsid w:val="00E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91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69"/>
    <w:pPr>
      <w:numPr>
        <w:numId w:val="1"/>
      </w:numPr>
      <w:contextualSpacing/>
    </w:pPr>
    <w:rPr>
      <w:rFonts w:ascii="Calibri" w:eastAsia="Times New Roman" w:hAnsi="Calibri" w:cs="Arial"/>
      <w:color w:val="30303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804B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4B69"/>
  </w:style>
  <w:style w:type="paragraph" w:styleId="NormalWeb">
    <w:name w:val="Normal (Web)"/>
    <w:basedOn w:val="Normal"/>
    <w:uiPriority w:val="99"/>
    <w:semiHidden/>
    <w:unhideWhenUsed/>
    <w:rsid w:val="006D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B4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11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69"/>
    <w:pPr>
      <w:numPr>
        <w:numId w:val="1"/>
      </w:numPr>
      <w:contextualSpacing/>
    </w:pPr>
    <w:rPr>
      <w:rFonts w:ascii="Calibri" w:eastAsia="Times New Roman" w:hAnsi="Calibri" w:cs="Arial"/>
      <w:color w:val="30303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804B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4B69"/>
  </w:style>
  <w:style w:type="paragraph" w:styleId="NormalWeb">
    <w:name w:val="Normal (Web)"/>
    <w:basedOn w:val="Normal"/>
    <w:uiPriority w:val="99"/>
    <w:semiHidden/>
    <w:unhideWhenUsed/>
    <w:rsid w:val="006D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B4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1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ppcacesmembers.org/knowledge-base/determine-your-course/" TargetMode="External"/><Relationship Id="rId7" Type="http://schemas.openxmlformats.org/officeDocument/2006/relationships/hyperlink" Target="https://www.aap.org/en-us/advocacy-and-policy/aap-health-initiatives/resilience/Pages/Resilience-Project.aspx" TargetMode="External"/><Relationship Id="rId8" Type="http://schemas.openxmlformats.org/officeDocument/2006/relationships/hyperlink" Target="http://www.developingchild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2576</Characters>
  <Application>Microsoft Macintosh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Binny Chokshi</dc:creator>
  <cp:keywords/>
  <dc:description/>
  <cp:lastModifiedBy>Binny Chokshi</cp:lastModifiedBy>
  <cp:revision>5</cp:revision>
  <dcterms:created xsi:type="dcterms:W3CDTF">2019-11-07T18:53:00Z</dcterms:created>
  <dcterms:modified xsi:type="dcterms:W3CDTF">2019-11-07T20:38:00Z</dcterms:modified>
</cp:coreProperties>
</file>